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3C" w:rsidRPr="005539C8" w:rsidRDefault="0070543C" w:rsidP="00705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 w:rsidP="00705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5D" w:rsidRDefault="0070543C" w:rsidP="007054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Утвержден                                                                                                                    </w:t>
      </w:r>
    </w:p>
    <w:p w:rsidR="0070543C" w:rsidRPr="005539C8" w:rsidRDefault="0070543C" w:rsidP="007054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   </w:t>
      </w:r>
      <w:r w:rsidR="0062375D">
        <w:rPr>
          <w:rFonts w:ascii="Times New Roman" w:hAnsi="Times New Roman" w:cs="Times New Roman"/>
          <w:sz w:val="24"/>
          <w:szCs w:val="24"/>
        </w:rPr>
        <w:t>Директор</w:t>
      </w:r>
      <w:r w:rsidRPr="00553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0543C" w:rsidRPr="005539C8" w:rsidRDefault="0070543C" w:rsidP="007054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 ГКП на ПХВ «ОЦПЗ» УЗ МО                                                                                                                                                       </w:t>
      </w:r>
    </w:p>
    <w:p w:rsidR="0070543C" w:rsidRPr="005539C8" w:rsidRDefault="0070543C" w:rsidP="007054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______________М.К </w:t>
      </w:r>
      <w:proofErr w:type="spellStart"/>
      <w:r w:rsidRPr="005539C8">
        <w:rPr>
          <w:rFonts w:ascii="Times New Roman" w:hAnsi="Times New Roman" w:cs="Times New Roman"/>
          <w:sz w:val="24"/>
          <w:szCs w:val="24"/>
        </w:rPr>
        <w:t>Токанов</w:t>
      </w:r>
      <w:proofErr w:type="spellEnd"/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43C" w:rsidRPr="005539C8" w:rsidRDefault="0070543C" w:rsidP="007054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28 апреля 2023г.</w:t>
      </w:r>
    </w:p>
    <w:p w:rsidR="0070543C" w:rsidRPr="005539C8" w:rsidRDefault="0070543C" w:rsidP="007054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 w:rsidP="00705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 w:rsidP="00705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 w:rsidP="00705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3C" w:rsidRPr="0062375D" w:rsidRDefault="0070543C" w:rsidP="00705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3C" w:rsidRPr="0062375D" w:rsidRDefault="0070543C" w:rsidP="00705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375D">
        <w:rPr>
          <w:rFonts w:ascii="Times New Roman" w:hAnsi="Times New Roman" w:cs="Times New Roman"/>
          <w:b/>
          <w:sz w:val="28"/>
          <w:szCs w:val="28"/>
        </w:rPr>
        <w:t>Пол</w:t>
      </w:r>
      <w:bookmarkEnd w:id="0"/>
      <w:r w:rsidRPr="0062375D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70543C" w:rsidRPr="0062375D" w:rsidRDefault="0070543C">
      <w:pPr>
        <w:rPr>
          <w:rFonts w:ascii="Times New Roman" w:hAnsi="Times New Roman" w:cs="Times New Roman"/>
          <w:b/>
          <w:sz w:val="28"/>
          <w:szCs w:val="28"/>
        </w:rPr>
      </w:pPr>
      <w:r w:rsidRPr="0062375D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Pr="0062375D">
        <w:rPr>
          <w:rFonts w:ascii="Times New Roman" w:hAnsi="Times New Roman" w:cs="Times New Roman"/>
          <w:b/>
          <w:sz w:val="28"/>
          <w:szCs w:val="28"/>
        </w:rPr>
        <w:t xml:space="preserve">ГКП на ПХВ «ОЦПЗ» УЗ МО       </w:t>
      </w:r>
    </w:p>
    <w:p w:rsidR="0070543C" w:rsidRPr="0062375D" w:rsidRDefault="0070543C">
      <w:pPr>
        <w:rPr>
          <w:rFonts w:ascii="Times New Roman" w:hAnsi="Times New Roman" w:cs="Times New Roman"/>
          <w:b/>
          <w:sz w:val="28"/>
          <w:szCs w:val="28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Default="00623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2375D" w:rsidRDefault="0062375D" w:rsidP="00623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5D" w:rsidRPr="005539C8" w:rsidRDefault="0062375D" w:rsidP="00623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АКТАУ 2023</w:t>
      </w:r>
    </w:p>
    <w:p w:rsidR="0070543C" w:rsidRPr="005539C8" w:rsidRDefault="0070543C">
      <w:pPr>
        <w:rPr>
          <w:rFonts w:ascii="Times New Roman" w:hAnsi="Times New Roman" w:cs="Times New Roman"/>
          <w:b/>
          <w:sz w:val="24"/>
          <w:szCs w:val="24"/>
        </w:rPr>
      </w:pPr>
    </w:p>
    <w:p w:rsidR="0070543C" w:rsidRPr="005539C8" w:rsidRDefault="0070543C" w:rsidP="006F7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C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539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543C" w:rsidRPr="0070543C" w:rsidRDefault="0070543C" w:rsidP="006F7A3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1.</w:t>
      </w:r>
      <w:r w:rsidR="006F7A3C" w:rsidRPr="005539C8">
        <w:rPr>
          <w:rFonts w:ascii="Times New Roman" w:hAnsi="Times New Roman" w:cs="Times New Roman"/>
          <w:sz w:val="24"/>
          <w:szCs w:val="24"/>
        </w:rPr>
        <w:t>1. Положение</w:t>
      </w:r>
      <w:r w:rsidRPr="005539C8">
        <w:rPr>
          <w:rFonts w:ascii="Times New Roman" w:hAnsi="Times New Roman" w:cs="Times New Roman"/>
          <w:sz w:val="24"/>
          <w:szCs w:val="24"/>
        </w:rPr>
        <w:t xml:space="preserve"> о конфликте интересов (далее – Положение) в ГКП на ПХ</w:t>
      </w:r>
      <w:r w:rsidRPr="005539C8">
        <w:rPr>
          <w:rFonts w:ascii="Times New Roman" w:hAnsi="Times New Roman" w:cs="Times New Roman"/>
          <w:sz w:val="24"/>
          <w:szCs w:val="24"/>
        </w:rPr>
        <w:t xml:space="preserve">В «ОЦПЗ» УЗ </w:t>
      </w:r>
      <w:r w:rsidR="006F7A3C" w:rsidRPr="005539C8">
        <w:rPr>
          <w:rFonts w:ascii="Times New Roman" w:hAnsi="Times New Roman" w:cs="Times New Roman"/>
          <w:sz w:val="24"/>
          <w:szCs w:val="24"/>
        </w:rPr>
        <w:t>МО</w:t>
      </w:r>
      <w:r w:rsidR="006F7A3C" w:rsidRPr="0055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 – Центр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55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разработано</w:t>
      </w:r>
      <w:r w:rsidRPr="0055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55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55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Законами</w:t>
      </w:r>
      <w:r w:rsidR="006F7A3C" w:rsidRPr="0055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Республики</w:t>
      </w:r>
      <w:r w:rsidRPr="0055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Казахстан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противодействии коррупции» «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государственном имуществе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70543C" w:rsidRPr="0070543C" w:rsidRDefault="0070543C" w:rsidP="006F7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Настоящее Положение является внутренним актом 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целью настоящего Положения является установление порядка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выявления и урегулирования конфликтов интересов, возникающих у работников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Центра в ходе выполнения ими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рудовых обязанностей; основной задачей –ограничение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влияния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частных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интересов,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личной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заинтересованности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ков на реализуемые ими трудовые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функции, принимаемые деловые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решения.</w:t>
      </w:r>
    </w:p>
    <w:p w:rsidR="0070543C" w:rsidRPr="0070543C" w:rsidRDefault="0070543C" w:rsidP="006F7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Под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конфликтом интересов понимается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противоречие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личными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интересами работника, при котором личные интересы работника могут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привести к неисполнению и (или) ненадлежащему исполнению ими своих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трудовых обязанностей, и (или) влечет или может повлечь за собой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возникновение противоречия между такой личной заинтересованностью и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законными интересами 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или угрозу возникновения противоречия,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которое способно привести к причинению вреда законным интересам и (или)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деловой репутации 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(примерный обзор типовых ситуаций конфликта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приведен в приложении 1 настоящему Положению).</w:t>
      </w:r>
    </w:p>
    <w:p w:rsidR="0070543C" w:rsidRPr="0070543C" w:rsidRDefault="0070543C" w:rsidP="006F7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Под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личной заинтересованностью понимается материальная или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иная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заинтересованность, которая влияет или может повлиять на обеспечение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 и законных интересов 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0543C" w:rsidRPr="0070543C" w:rsidRDefault="0070543C" w:rsidP="006F7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Действие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Положения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распространяется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всех работников Центра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вне зависимости от уровня занимаемой должности и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выполняемых функций.</w:t>
      </w:r>
    </w:p>
    <w:p w:rsidR="0070543C" w:rsidRPr="0070543C" w:rsidRDefault="006F7A3C" w:rsidP="006F7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</w:t>
      </w:r>
      <w:r w:rsidR="0070543C" w:rsidRPr="007054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ОСНОВНЫЕ ПРИНЦИПЫ УПРАВЛЕНИЯ КОНФЛИКТОМ</w:t>
      </w:r>
    </w:p>
    <w:p w:rsidR="0070543C" w:rsidRPr="0070543C" w:rsidRDefault="0070543C" w:rsidP="006F7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ИНТЕРЕСОВ</w:t>
      </w:r>
    </w:p>
    <w:p w:rsidR="0070543C" w:rsidRPr="0070543C" w:rsidRDefault="0070543C" w:rsidP="0070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2.1.В основу работы по управлению конфликтом интересов в Обществе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положены следующие принципы:</w:t>
      </w:r>
    </w:p>
    <w:p w:rsidR="0070543C" w:rsidRPr="0070543C" w:rsidRDefault="0070543C" w:rsidP="0070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обязательность раскрытия сведений о возникшем или потенциальном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конфликте интересов;</w:t>
      </w:r>
    </w:p>
    <w:p w:rsidR="0070543C" w:rsidRPr="0070543C" w:rsidRDefault="0070543C" w:rsidP="0070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индивидуальное рассмотрение и оценка </w:t>
      </w:r>
      <w:proofErr w:type="spellStart"/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репутационных</w:t>
      </w:r>
      <w:proofErr w:type="spellEnd"/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рисков для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Центра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70543C" w:rsidRPr="0070543C" w:rsidRDefault="0070543C" w:rsidP="0070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конфиденциальность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сведений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конфликте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и процесса его урегулирования;</w:t>
      </w:r>
    </w:p>
    <w:p w:rsidR="0070543C" w:rsidRPr="0070543C" w:rsidRDefault="0070543C" w:rsidP="0070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соблюдение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баланса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Центра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работника</w:t>
      </w:r>
      <w:r w:rsidR="006F7A3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C2486C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4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урегулировании конфликта интересов;</w:t>
      </w:r>
    </w:p>
    <w:p w:rsidR="006B411D" w:rsidRPr="005539C8" w:rsidRDefault="0070543C" w:rsidP="00C2486C">
      <w:pPr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86C" w:rsidRPr="005539C8">
        <w:rPr>
          <w:rFonts w:ascii="Times New Roman" w:hAnsi="Times New Roman" w:cs="Times New Roman"/>
          <w:sz w:val="24"/>
          <w:szCs w:val="24"/>
        </w:rPr>
        <w:t></w:t>
      </w:r>
      <w:r w:rsidR="00C2486C" w:rsidRPr="005539C8">
        <w:rPr>
          <w:rFonts w:ascii="Times New Roman" w:hAnsi="Times New Roman" w:cs="Times New Roman"/>
          <w:sz w:val="24"/>
          <w:szCs w:val="24"/>
        </w:rPr>
        <w:t>защита работника от пресл</w:t>
      </w:r>
      <w:r w:rsidR="00C2486C" w:rsidRPr="005539C8">
        <w:rPr>
          <w:rFonts w:ascii="Times New Roman" w:hAnsi="Times New Roman" w:cs="Times New Roman"/>
          <w:sz w:val="24"/>
          <w:szCs w:val="24"/>
        </w:rPr>
        <w:t xml:space="preserve">едования в связи с сообщением о конфликте </w:t>
      </w:r>
      <w:r w:rsidR="00C2486C" w:rsidRPr="005539C8">
        <w:rPr>
          <w:rFonts w:ascii="Times New Roman" w:hAnsi="Times New Roman" w:cs="Times New Roman"/>
          <w:sz w:val="24"/>
          <w:szCs w:val="24"/>
        </w:rPr>
        <w:t>интересов, который был своевременно ра</w:t>
      </w:r>
      <w:r w:rsidR="00C2486C" w:rsidRPr="005539C8">
        <w:rPr>
          <w:rFonts w:ascii="Times New Roman" w:hAnsi="Times New Roman" w:cs="Times New Roman"/>
          <w:sz w:val="24"/>
          <w:szCs w:val="24"/>
        </w:rPr>
        <w:t xml:space="preserve">скрыт работником и урегулирован </w:t>
      </w:r>
      <w:r w:rsidR="00C2486C" w:rsidRPr="005539C8">
        <w:rPr>
          <w:rFonts w:ascii="Times New Roman" w:hAnsi="Times New Roman" w:cs="Times New Roman"/>
          <w:sz w:val="24"/>
          <w:szCs w:val="24"/>
        </w:rPr>
        <w:t xml:space="preserve">(предотвращен) </w:t>
      </w:r>
      <w:r w:rsidR="00C2486C" w:rsidRPr="005539C8">
        <w:rPr>
          <w:rFonts w:ascii="Times New Roman" w:hAnsi="Times New Roman" w:cs="Times New Roman"/>
          <w:sz w:val="24"/>
          <w:szCs w:val="24"/>
        </w:rPr>
        <w:t>Центром</w:t>
      </w:r>
      <w:r w:rsidR="00C2486C" w:rsidRPr="005539C8">
        <w:rPr>
          <w:rFonts w:ascii="Times New Roman" w:hAnsi="Times New Roman" w:cs="Times New Roman"/>
          <w:sz w:val="24"/>
          <w:szCs w:val="24"/>
        </w:rPr>
        <w:t>.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C8">
        <w:rPr>
          <w:rFonts w:ascii="Times New Roman" w:hAnsi="Times New Roman" w:cs="Times New Roman"/>
          <w:b/>
          <w:sz w:val="24"/>
          <w:szCs w:val="24"/>
        </w:rPr>
        <w:t>3.</w:t>
      </w:r>
      <w:r w:rsidRPr="005539C8">
        <w:rPr>
          <w:rFonts w:ascii="Times New Roman" w:hAnsi="Times New Roman" w:cs="Times New Roman"/>
          <w:b/>
          <w:sz w:val="24"/>
          <w:szCs w:val="24"/>
        </w:rPr>
        <w:t>ОБЯЗАННОСТИ РАБОТНИКОВ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работников в связи с раскрытием и урегулированием конфликта интересов: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 при принятии решений по деловым вопросам и выпол</w:t>
      </w:r>
      <w:r w:rsidRPr="005539C8">
        <w:rPr>
          <w:rFonts w:ascii="Times New Roman" w:hAnsi="Times New Roman" w:cs="Times New Roman"/>
          <w:sz w:val="24"/>
          <w:szCs w:val="24"/>
        </w:rPr>
        <w:t xml:space="preserve">нении своих </w:t>
      </w:r>
      <w:r w:rsidRPr="005539C8">
        <w:rPr>
          <w:rFonts w:ascii="Times New Roman" w:hAnsi="Times New Roman" w:cs="Times New Roman"/>
          <w:sz w:val="24"/>
          <w:szCs w:val="24"/>
        </w:rPr>
        <w:t xml:space="preserve">трудовых обязанностей руководствоваться </w:t>
      </w:r>
      <w:r w:rsidRPr="005539C8">
        <w:rPr>
          <w:rFonts w:ascii="Times New Roman" w:hAnsi="Times New Roman" w:cs="Times New Roman"/>
          <w:sz w:val="24"/>
          <w:szCs w:val="24"/>
        </w:rPr>
        <w:t xml:space="preserve">интересами </w:t>
      </w:r>
      <w:r w:rsidR="00AC2F99" w:rsidRPr="005539C8">
        <w:rPr>
          <w:rFonts w:ascii="Times New Roman" w:hAnsi="Times New Roman" w:cs="Times New Roman"/>
          <w:sz w:val="24"/>
          <w:szCs w:val="24"/>
        </w:rPr>
        <w:t>Центра</w:t>
      </w:r>
      <w:r w:rsidRPr="005539C8">
        <w:rPr>
          <w:rFonts w:ascii="Times New Roman" w:hAnsi="Times New Roman" w:cs="Times New Roman"/>
          <w:sz w:val="24"/>
          <w:szCs w:val="24"/>
        </w:rPr>
        <w:t xml:space="preserve"> - без учета </w:t>
      </w:r>
      <w:r w:rsidRPr="005539C8">
        <w:rPr>
          <w:rFonts w:ascii="Times New Roman" w:hAnsi="Times New Roman" w:cs="Times New Roman"/>
          <w:sz w:val="24"/>
          <w:szCs w:val="24"/>
        </w:rPr>
        <w:t>своих личных интересов, интересов св</w:t>
      </w:r>
      <w:r w:rsidRPr="005539C8">
        <w:rPr>
          <w:rFonts w:ascii="Times New Roman" w:hAnsi="Times New Roman" w:cs="Times New Roman"/>
          <w:sz w:val="24"/>
          <w:szCs w:val="24"/>
        </w:rPr>
        <w:t xml:space="preserve">оих родственников и иных лиц, с </w:t>
      </w:r>
      <w:r w:rsidRPr="005539C8">
        <w:rPr>
          <w:rFonts w:ascii="Times New Roman" w:hAnsi="Times New Roman" w:cs="Times New Roman"/>
          <w:sz w:val="24"/>
          <w:szCs w:val="24"/>
        </w:rPr>
        <w:t>которыми связана его личная заинтересованность;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 избегать (по возможности) ситуаций и обстоятельств, ко</w:t>
      </w:r>
      <w:r w:rsidRPr="005539C8">
        <w:rPr>
          <w:rFonts w:ascii="Times New Roman" w:hAnsi="Times New Roman" w:cs="Times New Roman"/>
          <w:sz w:val="24"/>
          <w:szCs w:val="24"/>
        </w:rPr>
        <w:t xml:space="preserve">торые могут </w:t>
      </w:r>
      <w:r w:rsidRPr="005539C8">
        <w:rPr>
          <w:rFonts w:ascii="Times New Roman" w:hAnsi="Times New Roman" w:cs="Times New Roman"/>
          <w:sz w:val="24"/>
          <w:szCs w:val="24"/>
        </w:rPr>
        <w:t>привести к конфликту интересов;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lastRenderedPageBreak/>
        <w:t> раскрывать возникший или потенциальный конфликт интересов;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 содействовать урегулированию возникшего конфликта интересов.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Под родственниками в настоя</w:t>
      </w:r>
      <w:r w:rsidRPr="005539C8">
        <w:rPr>
          <w:rFonts w:ascii="Times New Roman" w:hAnsi="Times New Roman" w:cs="Times New Roman"/>
          <w:sz w:val="24"/>
          <w:szCs w:val="24"/>
        </w:rPr>
        <w:t>щем Положении понимаются супруг</w:t>
      </w:r>
      <w:r w:rsidRPr="005539C8">
        <w:rPr>
          <w:rFonts w:ascii="Times New Roman" w:hAnsi="Times New Roman" w:cs="Times New Roman"/>
          <w:sz w:val="24"/>
          <w:szCs w:val="24"/>
        </w:rPr>
        <w:t>(супруга),</w:t>
      </w:r>
      <w:r w:rsidRPr="005539C8">
        <w:rPr>
          <w:rFonts w:ascii="Times New Roman" w:hAnsi="Times New Roman" w:cs="Times New Roman"/>
          <w:sz w:val="24"/>
          <w:szCs w:val="24"/>
        </w:rPr>
        <w:t xml:space="preserve"> Родители (родитель), дети, усыновители (</w:t>
      </w:r>
      <w:proofErr w:type="spellStart"/>
      <w:r w:rsidRPr="005539C8">
        <w:rPr>
          <w:rFonts w:ascii="Times New Roman" w:hAnsi="Times New Roman" w:cs="Times New Roman"/>
          <w:sz w:val="24"/>
          <w:szCs w:val="24"/>
        </w:rPr>
        <w:t>удочерители</w:t>
      </w:r>
      <w:proofErr w:type="spellEnd"/>
      <w:r w:rsidRPr="005539C8">
        <w:rPr>
          <w:rFonts w:ascii="Times New Roman" w:hAnsi="Times New Roman" w:cs="Times New Roman"/>
          <w:sz w:val="24"/>
          <w:szCs w:val="24"/>
        </w:rPr>
        <w:t>), усыновленные</w:t>
      </w:r>
      <w:r w:rsidRPr="005539C8">
        <w:rPr>
          <w:rFonts w:ascii="Times New Roman" w:hAnsi="Times New Roman" w:cs="Times New Roman"/>
          <w:sz w:val="24"/>
          <w:szCs w:val="24"/>
        </w:rPr>
        <w:t xml:space="preserve"> (удочеренные), полнородные и</w:t>
      </w:r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C8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5539C8">
        <w:rPr>
          <w:rFonts w:ascii="Times New Roman" w:hAnsi="Times New Roman" w:cs="Times New Roman"/>
          <w:sz w:val="24"/>
          <w:szCs w:val="24"/>
        </w:rPr>
        <w:t xml:space="preserve"> братья и сестра, </w:t>
      </w:r>
      <w:r w:rsidRPr="005539C8">
        <w:rPr>
          <w:rFonts w:ascii="Times New Roman" w:hAnsi="Times New Roman" w:cs="Times New Roman"/>
          <w:sz w:val="24"/>
          <w:szCs w:val="24"/>
        </w:rPr>
        <w:t>дедушки, бабушки, внуки.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9C8">
        <w:rPr>
          <w:rFonts w:ascii="Times New Roman" w:hAnsi="Times New Roman" w:cs="Times New Roman"/>
          <w:b/>
          <w:sz w:val="24"/>
          <w:szCs w:val="24"/>
        </w:rPr>
        <w:t>4 СПОСОБЫ УРЕГУЛИРОВАНИЯ КОНФЛИКТА ИНТЕРЕСОВ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4.1. В Обществе установлены такие виды раскрытия конфликта интересов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как: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 раскрытие сведений о конфликте интересов при приеме на работу;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 раскрытие сведений о конфликте </w:t>
      </w:r>
      <w:r w:rsidR="004925C2" w:rsidRPr="005539C8">
        <w:rPr>
          <w:rFonts w:ascii="Times New Roman" w:hAnsi="Times New Roman" w:cs="Times New Roman"/>
          <w:sz w:val="24"/>
          <w:szCs w:val="24"/>
        </w:rPr>
        <w:t xml:space="preserve">интересов при переводе на новую                                                              </w:t>
      </w:r>
      <w:r w:rsidRPr="005539C8">
        <w:rPr>
          <w:rFonts w:ascii="Times New Roman" w:hAnsi="Times New Roman" w:cs="Times New Roman"/>
          <w:sz w:val="24"/>
          <w:szCs w:val="24"/>
        </w:rPr>
        <w:t>должность;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 разовое раскрытие сведений по мере возникновения ситуаций конфликта </w:t>
      </w:r>
      <w:r w:rsidRPr="005539C8">
        <w:rPr>
          <w:rFonts w:ascii="Times New Roman" w:hAnsi="Times New Roman" w:cs="Times New Roman"/>
          <w:sz w:val="24"/>
          <w:szCs w:val="24"/>
        </w:rPr>
        <w:t>интересов;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 раскрытие сведений о конфли</w:t>
      </w:r>
      <w:r w:rsidRPr="005539C8">
        <w:rPr>
          <w:rFonts w:ascii="Times New Roman" w:hAnsi="Times New Roman" w:cs="Times New Roman"/>
          <w:sz w:val="24"/>
          <w:szCs w:val="24"/>
        </w:rPr>
        <w:t xml:space="preserve">кте интересов в ходе заполнения </w:t>
      </w:r>
      <w:r w:rsidRPr="005539C8">
        <w:rPr>
          <w:rFonts w:ascii="Times New Roman" w:hAnsi="Times New Roman" w:cs="Times New Roman"/>
          <w:sz w:val="24"/>
          <w:szCs w:val="24"/>
        </w:rPr>
        <w:t>декларации о конфликте интересов.</w:t>
      </w:r>
      <w:r w:rsidR="004925C2" w:rsidRPr="005539C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4.2. Рассмотрение представленных </w:t>
      </w:r>
      <w:r w:rsidR="004925C2" w:rsidRPr="005539C8">
        <w:rPr>
          <w:rFonts w:ascii="Times New Roman" w:hAnsi="Times New Roman" w:cs="Times New Roman"/>
          <w:sz w:val="24"/>
          <w:szCs w:val="24"/>
        </w:rPr>
        <w:t xml:space="preserve">Центру сведений и урегулирование </w:t>
      </w:r>
      <w:r w:rsidRPr="005539C8">
        <w:rPr>
          <w:rFonts w:ascii="Times New Roman" w:hAnsi="Times New Roman" w:cs="Times New Roman"/>
          <w:sz w:val="24"/>
          <w:szCs w:val="24"/>
        </w:rPr>
        <w:t>конфликта интересов происход</w:t>
      </w:r>
      <w:r w:rsidRPr="005539C8">
        <w:rPr>
          <w:rFonts w:ascii="Times New Roman" w:hAnsi="Times New Roman" w:cs="Times New Roman"/>
          <w:sz w:val="24"/>
          <w:szCs w:val="24"/>
        </w:rPr>
        <w:t xml:space="preserve">ит конфиденциально. Поступившая информация </w:t>
      </w:r>
      <w:r w:rsidRPr="005539C8">
        <w:rPr>
          <w:rFonts w:ascii="Times New Roman" w:hAnsi="Times New Roman" w:cs="Times New Roman"/>
          <w:sz w:val="24"/>
          <w:szCs w:val="24"/>
        </w:rPr>
        <w:t>тщательно проверяется уполномоченным н</w:t>
      </w:r>
      <w:r w:rsidRPr="005539C8">
        <w:rPr>
          <w:rFonts w:ascii="Times New Roman" w:hAnsi="Times New Roman" w:cs="Times New Roman"/>
          <w:sz w:val="24"/>
          <w:szCs w:val="24"/>
        </w:rPr>
        <w:t xml:space="preserve">а это должностным лицом с целью </w:t>
      </w:r>
      <w:r w:rsidRPr="005539C8">
        <w:rPr>
          <w:rFonts w:ascii="Times New Roman" w:hAnsi="Times New Roman" w:cs="Times New Roman"/>
          <w:sz w:val="24"/>
          <w:szCs w:val="24"/>
        </w:rPr>
        <w:t xml:space="preserve">оценки серьезности </w:t>
      </w:r>
      <w:r w:rsidR="004925C2" w:rsidRPr="005539C8">
        <w:rPr>
          <w:rFonts w:ascii="Times New Roman" w:hAnsi="Times New Roman" w:cs="Times New Roman"/>
          <w:sz w:val="24"/>
          <w:szCs w:val="24"/>
        </w:rPr>
        <w:t xml:space="preserve">  </w:t>
      </w:r>
      <w:r w:rsidRPr="005539C8">
        <w:rPr>
          <w:rFonts w:ascii="Times New Roman" w:hAnsi="Times New Roman" w:cs="Times New Roman"/>
          <w:sz w:val="24"/>
          <w:szCs w:val="24"/>
        </w:rPr>
        <w:t xml:space="preserve">возникающих для </w:t>
      </w:r>
      <w:r w:rsidR="004925C2" w:rsidRPr="005539C8">
        <w:rPr>
          <w:rFonts w:ascii="Times New Roman" w:hAnsi="Times New Roman" w:cs="Times New Roman"/>
          <w:sz w:val="24"/>
          <w:szCs w:val="24"/>
        </w:rPr>
        <w:t>Центр</w:t>
      </w:r>
      <w:r w:rsidRPr="005539C8">
        <w:rPr>
          <w:rFonts w:ascii="Times New Roman" w:hAnsi="Times New Roman" w:cs="Times New Roman"/>
          <w:sz w:val="24"/>
          <w:szCs w:val="24"/>
        </w:rPr>
        <w:t xml:space="preserve"> рисков и выбора наиболее </w:t>
      </w:r>
      <w:r w:rsidRPr="005539C8">
        <w:rPr>
          <w:rFonts w:ascii="Times New Roman" w:hAnsi="Times New Roman" w:cs="Times New Roman"/>
          <w:sz w:val="24"/>
          <w:szCs w:val="24"/>
        </w:rPr>
        <w:t>подходящей формы урегулирования конфликта интересов.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4.3. </w:t>
      </w:r>
      <w:r w:rsidR="004925C2" w:rsidRPr="005539C8">
        <w:rPr>
          <w:rFonts w:ascii="Times New Roman" w:hAnsi="Times New Roman" w:cs="Times New Roman"/>
          <w:sz w:val="24"/>
          <w:szCs w:val="24"/>
        </w:rPr>
        <w:t>Центр</w:t>
      </w:r>
      <w:r w:rsidRPr="005539C8">
        <w:rPr>
          <w:rFonts w:ascii="Times New Roman" w:hAnsi="Times New Roman" w:cs="Times New Roman"/>
          <w:sz w:val="24"/>
          <w:szCs w:val="24"/>
        </w:rPr>
        <w:t xml:space="preserve"> может прийти к выводу, что ситуация, сведения о ко</w:t>
      </w:r>
      <w:r w:rsidR="004925C2" w:rsidRPr="005539C8">
        <w:rPr>
          <w:rFonts w:ascii="Times New Roman" w:hAnsi="Times New Roman" w:cs="Times New Roman"/>
          <w:sz w:val="24"/>
          <w:szCs w:val="24"/>
        </w:rPr>
        <w:t xml:space="preserve">торой </w:t>
      </w:r>
      <w:r w:rsidRPr="005539C8">
        <w:rPr>
          <w:rFonts w:ascii="Times New Roman" w:hAnsi="Times New Roman" w:cs="Times New Roman"/>
          <w:sz w:val="24"/>
          <w:szCs w:val="24"/>
        </w:rPr>
        <w:t>были представлены работником, не являе</w:t>
      </w:r>
      <w:r w:rsidR="004925C2" w:rsidRPr="005539C8">
        <w:rPr>
          <w:rFonts w:ascii="Times New Roman" w:hAnsi="Times New Roman" w:cs="Times New Roman"/>
          <w:sz w:val="24"/>
          <w:szCs w:val="24"/>
        </w:rPr>
        <w:t xml:space="preserve">тся конфликтом интересов и, как </w:t>
      </w:r>
      <w:r w:rsidRPr="005539C8">
        <w:rPr>
          <w:rFonts w:ascii="Times New Roman" w:hAnsi="Times New Roman" w:cs="Times New Roman"/>
          <w:sz w:val="24"/>
          <w:szCs w:val="24"/>
        </w:rPr>
        <w:t>следствие, не нуждается в специальных способах урегулирования.</w:t>
      </w:r>
    </w:p>
    <w:p w:rsidR="00C2486C" w:rsidRPr="005539C8" w:rsidRDefault="00C2486C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4.4. </w:t>
      </w:r>
      <w:r w:rsidR="004925C2" w:rsidRPr="005539C8">
        <w:rPr>
          <w:rFonts w:ascii="Times New Roman" w:hAnsi="Times New Roman" w:cs="Times New Roman"/>
          <w:sz w:val="24"/>
          <w:szCs w:val="24"/>
        </w:rPr>
        <w:t>Центр</w:t>
      </w:r>
      <w:r w:rsidRPr="005539C8">
        <w:rPr>
          <w:rFonts w:ascii="Times New Roman" w:hAnsi="Times New Roman" w:cs="Times New Roman"/>
          <w:sz w:val="24"/>
          <w:szCs w:val="24"/>
        </w:rPr>
        <w:t xml:space="preserve"> также может прийти к</w:t>
      </w:r>
      <w:r w:rsidR="004925C2" w:rsidRPr="005539C8">
        <w:rPr>
          <w:rFonts w:ascii="Times New Roman" w:hAnsi="Times New Roman" w:cs="Times New Roman"/>
          <w:sz w:val="24"/>
          <w:szCs w:val="24"/>
        </w:rPr>
        <w:t xml:space="preserve"> выводу, что конфликт интересов имеет </w:t>
      </w:r>
      <w:r w:rsidRPr="005539C8">
        <w:rPr>
          <w:rFonts w:ascii="Times New Roman" w:hAnsi="Times New Roman" w:cs="Times New Roman"/>
          <w:sz w:val="24"/>
          <w:szCs w:val="24"/>
        </w:rPr>
        <w:t>место, и использовать различные способы его разрешения, в том числе:</w:t>
      </w:r>
    </w:p>
    <w:p w:rsidR="004925C2" w:rsidRPr="005539C8" w:rsidRDefault="004925C2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925C2" w:rsidRPr="005539C8" w:rsidRDefault="004925C2" w:rsidP="004925C2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 w:rsidRPr="005539C8">
        <w:rPr>
          <w:rFonts w:ascii="Times New Roman" w:hAnsi="Times New Roman" w:cs="Times New Roman"/>
          <w:sz w:val="24"/>
          <w:szCs w:val="24"/>
        </w:rPr>
        <w:t xml:space="preserve">     интересов, является сотрудник </w:t>
      </w:r>
      <w:proofErr w:type="spellStart"/>
      <w:r w:rsidRPr="005539C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539C8">
        <w:rPr>
          <w:rFonts w:ascii="Times New Roman" w:hAnsi="Times New Roman" w:cs="Times New Roman"/>
          <w:sz w:val="24"/>
          <w:szCs w:val="24"/>
        </w:rPr>
        <w:t>-</w:t>
      </w:r>
      <w:r w:rsidRPr="005539C8">
        <w:rPr>
          <w:rFonts w:ascii="Times New Roman" w:hAnsi="Times New Roman" w:cs="Times New Roman"/>
          <w:sz w:val="24"/>
          <w:szCs w:val="24"/>
        </w:rPr>
        <w:t>офицеру</w:t>
      </w:r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Центра</w:t>
      </w:r>
    </w:p>
    <w:p w:rsidR="004925C2" w:rsidRPr="005539C8" w:rsidRDefault="004925C2" w:rsidP="00492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C8">
        <w:rPr>
          <w:rFonts w:ascii="Times New Roman" w:hAnsi="Times New Roman" w:cs="Times New Roman"/>
          <w:b/>
          <w:sz w:val="24"/>
          <w:szCs w:val="24"/>
        </w:rPr>
        <w:t>5</w:t>
      </w:r>
      <w:r w:rsidRPr="005539C8">
        <w:rPr>
          <w:rFonts w:ascii="Times New Roman" w:hAnsi="Times New Roman" w:cs="Times New Roman"/>
          <w:b/>
          <w:sz w:val="24"/>
          <w:szCs w:val="24"/>
        </w:rPr>
        <w:t>.</w:t>
      </w:r>
      <w:r w:rsidRPr="005539C8">
        <w:rPr>
          <w:rFonts w:ascii="Times New Roman" w:hAnsi="Times New Roman" w:cs="Times New Roman"/>
          <w:b/>
          <w:sz w:val="24"/>
          <w:szCs w:val="24"/>
        </w:rPr>
        <w:t xml:space="preserve"> ЛИЦА, ОТ</w:t>
      </w:r>
      <w:r w:rsidRPr="005539C8">
        <w:rPr>
          <w:rFonts w:ascii="Times New Roman" w:hAnsi="Times New Roman" w:cs="Times New Roman"/>
          <w:b/>
          <w:sz w:val="24"/>
          <w:szCs w:val="24"/>
        </w:rPr>
        <w:t xml:space="preserve">ВЕТСТВЕННЫЕ ЗА ПРИЕМ СВЕДЕНИЙ О </w:t>
      </w:r>
      <w:r w:rsidRPr="005539C8">
        <w:rPr>
          <w:rFonts w:ascii="Times New Roman" w:hAnsi="Times New Roman" w:cs="Times New Roman"/>
          <w:b/>
          <w:sz w:val="24"/>
          <w:szCs w:val="24"/>
        </w:rPr>
        <w:t>ВОЗНИКШЕМ (И</w:t>
      </w:r>
      <w:r w:rsidRPr="005539C8">
        <w:rPr>
          <w:rFonts w:ascii="Times New Roman" w:hAnsi="Times New Roman" w:cs="Times New Roman"/>
          <w:b/>
          <w:sz w:val="24"/>
          <w:szCs w:val="24"/>
        </w:rPr>
        <w:t xml:space="preserve">МЕЮЩЕМСЯ) КОНФЛИКТЕ ИНТЕРЕСОВ И </w:t>
      </w:r>
      <w:r w:rsidRPr="005539C8">
        <w:rPr>
          <w:rFonts w:ascii="Times New Roman" w:hAnsi="Times New Roman" w:cs="Times New Roman"/>
          <w:b/>
          <w:sz w:val="24"/>
          <w:szCs w:val="24"/>
        </w:rPr>
        <w:t>РАССМОТРЕНИЕ ЭТИХ СВЕДЕНИЙ</w:t>
      </w:r>
    </w:p>
    <w:p w:rsidR="00AC2F99" w:rsidRPr="005539C8" w:rsidRDefault="004925C2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5.1. Лицом, ответственным за прием с</w:t>
      </w:r>
      <w:r w:rsidRPr="005539C8">
        <w:rPr>
          <w:rFonts w:ascii="Times New Roman" w:hAnsi="Times New Roman" w:cs="Times New Roman"/>
          <w:sz w:val="24"/>
          <w:szCs w:val="24"/>
        </w:rPr>
        <w:t>ведений о возникшем (имеющемся)</w:t>
      </w:r>
      <w:r w:rsidRPr="005539C8">
        <w:rPr>
          <w:rFonts w:ascii="Times New Roman" w:hAnsi="Times New Roman" w:cs="Times New Roman"/>
          <w:sz w:val="24"/>
          <w:szCs w:val="24"/>
        </w:rPr>
        <w:t>конфликте интересов, в том числе уведомлений, заявлений и обращений (</w:t>
      </w:r>
      <w:r w:rsidRPr="005539C8">
        <w:rPr>
          <w:rFonts w:ascii="Times New Roman" w:hAnsi="Times New Roman" w:cs="Times New Roman"/>
          <w:sz w:val="24"/>
          <w:szCs w:val="24"/>
        </w:rPr>
        <w:t>далее</w:t>
      </w:r>
      <w:r w:rsidRPr="005539C8">
        <w:rPr>
          <w:rFonts w:ascii="Times New Roman" w:hAnsi="Times New Roman" w:cs="Times New Roman"/>
          <w:sz w:val="24"/>
          <w:szCs w:val="24"/>
        </w:rPr>
        <w:t>– уведомление) о возникновении личной за</w:t>
      </w:r>
      <w:r w:rsidRPr="005539C8">
        <w:rPr>
          <w:rFonts w:ascii="Times New Roman" w:hAnsi="Times New Roman" w:cs="Times New Roman"/>
          <w:sz w:val="24"/>
          <w:szCs w:val="24"/>
        </w:rPr>
        <w:t xml:space="preserve">интересованности при исполнении </w:t>
      </w:r>
      <w:r w:rsidRPr="005539C8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  <w:r w:rsidRPr="005539C8">
        <w:rPr>
          <w:rFonts w:ascii="Times New Roman" w:hAnsi="Times New Roman" w:cs="Times New Roman"/>
          <w:sz w:val="24"/>
          <w:szCs w:val="24"/>
        </w:rPr>
        <w:t xml:space="preserve"> или может привести к </w:t>
      </w:r>
      <w:proofErr w:type="gramStart"/>
      <w:r w:rsidRPr="005539C8">
        <w:rPr>
          <w:rFonts w:ascii="Times New Roman" w:hAnsi="Times New Roman" w:cs="Times New Roman"/>
          <w:sz w:val="24"/>
          <w:szCs w:val="24"/>
        </w:rPr>
        <w:t xml:space="preserve">конфликту  </w:t>
      </w:r>
      <w:r w:rsidRPr="005539C8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5539C8">
        <w:rPr>
          <w:rFonts w:ascii="Times New Roman" w:hAnsi="Times New Roman" w:cs="Times New Roman"/>
          <w:sz w:val="24"/>
          <w:szCs w:val="24"/>
        </w:rPr>
        <w:t xml:space="preserve">, является сотрудник </w:t>
      </w:r>
      <w:proofErr w:type="spellStart"/>
      <w:r w:rsidRPr="005539C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539C8">
        <w:rPr>
          <w:rFonts w:ascii="Times New Roman" w:hAnsi="Times New Roman" w:cs="Times New Roman"/>
          <w:sz w:val="24"/>
          <w:szCs w:val="24"/>
        </w:rPr>
        <w:t xml:space="preserve">-службы </w:t>
      </w:r>
      <w:r w:rsidRPr="005539C8">
        <w:rPr>
          <w:rFonts w:ascii="Times New Roman" w:hAnsi="Times New Roman" w:cs="Times New Roman"/>
          <w:sz w:val="24"/>
          <w:szCs w:val="24"/>
        </w:rPr>
        <w:t>Центра</w:t>
      </w:r>
      <w:r w:rsidRPr="005539C8">
        <w:rPr>
          <w:rFonts w:ascii="Times New Roman" w:hAnsi="Times New Roman" w:cs="Times New Roman"/>
          <w:sz w:val="24"/>
          <w:szCs w:val="24"/>
        </w:rPr>
        <w:t>.</w:t>
      </w:r>
      <w:r w:rsidR="00AC2F99" w:rsidRPr="005539C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C2F99" w:rsidRPr="005539C8" w:rsidRDefault="004925C2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5539C8">
        <w:rPr>
          <w:rFonts w:ascii="Times New Roman" w:hAnsi="Times New Roman" w:cs="Times New Roman"/>
          <w:sz w:val="24"/>
          <w:szCs w:val="24"/>
        </w:rPr>
        <w:t>2.Заинтересованные</w:t>
      </w:r>
      <w:proofErr w:type="gramEnd"/>
      <w:r w:rsidR="00AC2F99"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лица</w:t>
      </w:r>
      <w:r w:rsidR="00AC2F99"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должны</w:t>
      </w:r>
      <w:r w:rsidR="00AC2F99" w:rsidRPr="005539C8">
        <w:rPr>
          <w:rFonts w:ascii="Times New Roman" w:hAnsi="Times New Roman" w:cs="Times New Roman"/>
          <w:sz w:val="24"/>
          <w:szCs w:val="24"/>
        </w:rPr>
        <w:t xml:space="preserve"> без промедления </w:t>
      </w:r>
      <w:r w:rsidRPr="005539C8">
        <w:rPr>
          <w:rFonts w:ascii="Times New Roman" w:hAnsi="Times New Roman" w:cs="Times New Roman"/>
          <w:sz w:val="24"/>
          <w:szCs w:val="24"/>
        </w:rPr>
        <w:t>сообщать</w:t>
      </w:r>
      <w:r w:rsidR="00AC2F99" w:rsidRPr="005539C8">
        <w:rPr>
          <w:rFonts w:ascii="Times New Roman" w:hAnsi="Times New Roman" w:cs="Times New Roman"/>
          <w:sz w:val="24"/>
          <w:szCs w:val="24"/>
        </w:rPr>
        <w:t xml:space="preserve"> сотруднику </w:t>
      </w:r>
      <w:proofErr w:type="spellStart"/>
      <w:r w:rsidRPr="005539C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539C8">
        <w:rPr>
          <w:rFonts w:ascii="Times New Roman" w:hAnsi="Times New Roman" w:cs="Times New Roman"/>
          <w:sz w:val="24"/>
          <w:szCs w:val="24"/>
        </w:rPr>
        <w:t xml:space="preserve">-службы </w:t>
      </w:r>
      <w:r w:rsidR="00AC2F99" w:rsidRPr="005539C8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5539C8">
        <w:rPr>
          <w:rFonts w:ascii="Times New Roman" w:hAnsi="Times New Roman" w:cs="Times New Roman"/>
          <w:sz w:val="24"/>
          <w:szCs w:val="24"/>
        </w:rPr>
        <w:t>, о любой личной заинтересованности,</w:t>
      </w:r>
      <w:r w:rsidR="00AC2F99"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интересов, и до получения</w:t>
      </w:r>
      <w:r w:rsidR="00AC2F99"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="00AC2F99" w:rsidRPr="005539C8">
        <w:rPr>
          <w:rFonts w:ascii="Times New Roman" w:hAnsi="Times New Roman" w:cs="Times New Roman"/>
          <w:sz w:val="24"/>
          <w:szCs w:val="24"/>
        </w:rPr>
        <w:t>рекомендаций избегать любых отноше</w:t>
      </w:r>
      <w:r w:rsidR="00AC2F99" w:rsidRPr="005539C8">
        <w:rPr>
          <w:rFonts w:ascii="Times New Roman" w:hAnsi="Times New Roman" w:cs="Times New Roman"/>
          <w:sz w:val="24"/>
          <w:szCs w:val="24"/>
        </w:rPr>
        <w:t xml:space="preserve">ний или действий, которые могут </w:t>
      </w:r>
      <w:r w:rsidR="00AC2F99" w:rsidRPr="005539C8">
        <w:rPr>
          <w:rFonts w:ascii="Times New Roman" w:hAnsi="Times New Roman" w:cs="Times New Roman"/>
          <w:sz w:val="24"/>
          <w:szCs w:val="24"/>
        </w:rPr>
        <w:t>помешать принятию объективных и честных решений.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lastRenderedPageBreak/>
        <w:t xml:space="preserve">5.3. Полученная информация сотрудником </w:t>
      </w:r>
      <w:proofErr w:type="spellStart"/>
      <w:r w:rsidRPr="005539C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539C8">
        <w:rPr>
          <w:rFonts w:ascii="Times New Roman" w:hAnsi="Times New Roman" w:cs="Times New Roman"/>
          <w:sz w:val="24"/>
          <w:szCs w:val="24"/>
        </w:rPr>
        <w:t xml:space="preserve">-службы </w:t>
      </w:r>
      <w:r w:rsidRPr="005539C8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5539C8">
        <w:rPr>
          <w:rFonts w:ascii="Times New Roman" w:hAnsi="Times New Roman" w:cs="Times New Roman"/>
          <w:sz w:val="24"/>
          <w:szCs w:val="24"/>
        </w:rPr>
        <w:t xml:space="preserve">немедленно передается на рассмотрение </w:t>
      </w:r>
      <w:r w:rsidRPr="005539C8">
        <w:rPr>
          <w:rFonts w:ascii="Times New Roman" w:hAnsi="Times New Roman" w:cs="Times New Roman"/>
          <w:sz w:val="24"/>
          <w:szCs w:val="24"/>
        </w:rPr>
        <w:t>Директору Центра</w:t>
      </w:r>
      <w:r w:rsidRPr="005539C8">
        <w:rPr>
          <w:rFonts w:ascii="Times New Roman" w:hAnsi="Times New Roman" w:cs="Times New Roman"/>
          <w:sz w:val="24"/>
          <w:szCs w:val="24"/>
        </w:rPr>
        <w:t>.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5.4. </w:t>
      </w:r>
      <w:r w:rsidRPr="005539C8">
        <w:rPr>
          <w:rFonts w:ascii="Times New Roman" w:hAnsi="Times New Roman" w:cs="Times New Roman"/>
          <w:sz w:val="24"/>
          <w:szCs w:val="24"/>
        </w:rPr>
        <w:t>Директор</w:t>
      </w:r>
      <w:r w:rsidRPr="005539C8">
        <w:rPr>
          <w:rFonts w:ascii="Times New Roman" w:hAnsi="Times New Roman" w:cs="Times New Roman"/>
          <w:sz w:val="24"/>
          <w:szCs w:val="24"/>
        </w:rPr>
        <w:t xml:space="preserve"> создает ра</w:t>
      </w:r>
      <w:r w:rsidRPr="005539C8">
        <w:rPr>
          <w:rFonts w:ascii="Times New Roman" w:hAnsi="Times New Roman" w:cs="Times New Roman"/>
          <w:sz w:val="24"/>
          <w:szCs w:val="24"/>
        </w:rPr>
        <w:t>бочую группу для урегулирования конфликта</w:t>
      </w:r>
      <w:r w:rsidRPr="005539C8">
        <w:rPr>
          <w:rFonts w:ascii="Times New Roman" w:hAnsi="Times New Roman" w:cs="Times New Roman"/>
          <w:sz w:val="24"/>
          <w:szCs w:val="24"/>
        </w:rPr>
        <w:t xml:space="preserve"> интересов, в состав которой входят сотр</w:t>
      </w:r>
      <w:r w:rsidRPr="005539C8">
        <w:rPr>
          <w:rFonts w:ascii="Times New Roman" w:hAnsi="Times New Roman" w:cs="Times New Roman"/>
          <w:sz w:val="24"/>
          <w:szCs w:val="24"/>
        </w:rPr>
        <w:t xml:space="preserve">удник </w:t>
      </w:r>
      <w:proofErr w:type="spellStart"/>
      <w:r w:rsidRPr="005539C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539C8">
        <w:rPr>
          <w:rFonts w:ascii="Times New Roman" w:hAnsi="Times New Roman" w:cs="Times New Roman"/>
          <w:sz w:val="24"/>
          <w:szCs w:val="24"/>
        </w:rPr>
        <w:t xml:space="preserve"> службы, структурного подразделения </w:t>
      </w:r>
      <w:proofErr w:type="gramStart"/>
      <w:r w:rsidRPr="005539C8">
        <w:rPr>
          <w:rFonts w:ascii="Times New Roman" w:hAnsi="Times New Roman" w:cs="Times New Roman"/>
          <w:sz w:val="24"/>
          <w:szCs w:val="24"/>
        </w:rPr>
        <w:t>управлению  персоналом</w:t>
      </w:r>
      <w:proofErr w:type="gramEnd"/>
      <w:r w:rsidRPr="005539C8">
        <w:rPr>
          <w:rFonts w:ascii="Times New Roman" w:hAnsi="Times New Roman" w:cs="Times New Roman"/>
          <w:sz w:val="24"/>
          <w:szCs w:val="24"/>
        </w:rPr>
        <w:t xml:space="preserve">, юридического </w:t>
      </w:r>
      <w:r w:rsidRPr="005539C8">
        <w:rPr>
          <w:rFonts w:ascii="Times New Roman" w:hAnsi="Times New Roman" w:cs="Times New Roman"/>
          <w:sz w:val="24"/>
          <w:szCs w:val="24"/>
        </w:rPr>
        <w:t>сопровождения. Состав рабочей гру</w:t>
      </w:r>
      <w:r w:rsidRPr="005539C8">
        <w:rPr>
          <w:rFonts w:ascii="Times New Roman" w:hAnsi="Times New Roman" w:cs="Times New Roman"/>
          <w:sz w:val="24"/>
          <w:szCs w:val="24"/>
        </w:rPr>
        <w:t xml:space="preserve">ппы формируется так, чтобы была </w:t>
      </w:r>
      <w:r w:rsidRPr="005539C8">
        <w:rPr>
          <w:rFonts w:ascii="Times New Roman" w:hAnsi="Times New Roman" w:cs="Times New Roman"/>
          <w:sz w:val="24"/>
          <w:szCs w:val="24"/>
        </w:rPr>
        <w:t>исключена возможность возникновения кон</w:t>
      </w:r>
      <w:r w:rsidRPr="005539C8">
        <w:rPr>
          <w:rFonts w:ascii="Times New Roman" w:hAnsi="Times New Roman" w:cs="Times New Roman"/>
          <w:sz w:val="24"/>
          <w:szCs w:val="24"/>
        </w:rPr>
        <w:t xml:space="preserve">фликта интересов, который может </w:t>
      </w:r>
      <w:r w:rsidRPr="005539C8">
        <w:rPr>
          <w:rFonts w:ascii="Times New Roman" w:hAnsi="Times New Roman" w:cs="Times New Roman"/>
          <w:sz w:val="24"/>
          <w:szCs w:val="24"/>
        </w:rPr>
        <w:t>повлиять на принимаемые группой решения.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5.4. По итогам рассмотрения информации рабочая группа принимает одно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из следующих решений: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а) признать, что при исполнении рабо</w:t>
      </w:r>
      <w:r w:rsidRPr="005539C8">
        <w:rPr>
          <w:rFonts w:ascii="Times New Roman" w:hAnsi="Times New Roman" w:cs="Times New Roman"/>
          <w:sz w:val="24"/>
          <w:szCs w:val="24"/>
        </w:rPr>
        <w:t xml:space="preserve">тником должностных обязанностей </w:t>
      </w:r>
      <w:r w:rsidRPr="005539C8">
        <w:rPr>
          <w:rFonts w:ascii="Times New Roman" w:hAnsi="Times New Roman" w:cs="Times New Roman"/>
          <w:sz w:val="24"/>
          <w:szCs w:val="24"/>
        </w:rPr>
        <w:t>конфликт интересов отсутствует;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б) признать, что при исполнении рабо</w:t>
      </w:r>
      <w:r w:rsidRPr="005539C8">
        <w:rPr>
          <w:rFonts w:ascii="Times New Roman" w:hAnsi="Times New Roman" w:cs="Times New Roman"/>
          <w:sz w:val="24"/>
          <w:szCs w:val="24"/>
        </w:rPr>
        <w:t xml:space="preserve">тником должностных обязанностей </w:t>
      </w:r>
      <w:r w:rsidRPr="005539C8">
        <w:rPr>
          <w:rFonts w:ascii="Times New Roman" w:hAnsi="Times New Roman" w:cs="Times New Roman"/>
          <w:sz w:val="24"/>
          <w:szCs w:val="24"/>
        </w:rPr>
        <w:t>личная заинтересованность приводит</w:t>
      </w:r>
      <w:r w:rsidRPr="005539C8"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</w:t>
      </w:r>
      <w:r w:rsidRPr="005539C8">
        <w:rPr>
          <w:rFonts w:ascii="Times New Roman" w:hAnsi="Times New Roman" w:cs="Times New Roman"/>
          <w:sz w:val="24"/>
          <w:szCs w:val="24"/>
        </w:rPr>
        <w:t>интересов. В этом случае Комиссия рекоменду</w:t>
      </w:r>
      <w:r w:rsidRPr="005539C8">
        <w:rPr>
          <w:rFonts w:ascii="Times New Roman" w:hAnsi="Times New Roman" w:cs="Times New Roman"/>
          <w:sz w:val="24"/>
          <w:szCs w:val="24"/>
        </w:rPr>
        <w:t xml:space="preserve">ет указанному лицу принять меры по урегулированию конфликта интересов или по </w:t>
      </w:r>
      <w:r w:rsidRPr="005539C8">
        <w:rPr>
          <w:rFonts w:ascii="Times New Roman" w:hAnsi="Times New Roman" w:cs="Times New Roman"/>
          <w:sz w:val="24"/>
          <w:szCs w:val="24"/>
        </w:rPr>
        <w:t>не</w:t>
      </w:r>
      <w:r w:rsidRPr="005539C8">
        <w:rPr>
          <w:rFonts w:ascii="Times New Roman" w:hAnsi="Times New Roman" w:cs="Times New Roman"/>
          <w:sz w:val="24"/>
          <w:szCs w:val="24"/>
        </w:rPr>
        <w:t xml:space="preserve">допущению его </w:t>
      </w:r>
      <w:r w:rsidRPr="005539C8">
        <w:rPr>
          <w:rFonts w:ascii="Times New Roman" w:hAnsi="Times New Roman" w:cs="Times New Roman"/>
          <w:sz w:val="24"/>
          <w:szCs w:val="24"/>
        </w:rPr>
        <w:t>возникновения;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в) признать, что работник не соблюдал требования об урегулировании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конфликта интересов. В этом случае рабочая рекомендует </w:t>
      </w:r>
      <w:r w:rsidRPr="005539C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5539C8">
        <w:rPr>
          <w:rFonts w:ascii="Times New Roman" w:hAnsi="Times New Roman" w:cs="Times New Roman"/>
          <w:sz w:val="24"/>
          <w:szCs w:val="24"/>
        </w:rPr>
        <w:t>применить</w:t>
      </w:r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к</w:t>
      </w:r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указанному</w:t>
      </w:r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лицу</w:t>
      </w:r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конкретную</w:t>
      </w:r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меру</w:t>
      </w:r>
      <w:r w:rsidRPr="005539C8">
        <w:rPr>
          <w:rFonts w:ascii="Times New Roman" w:hAnsi="Times New Roman" w:cs="Times New Roman"/>
          <w:sz w:val="24"/>
          <w:szCs w:val="24"/>
        </w:rPr>
        <w:t xml:space="preserve"> </w:t>
      </w:r>
      <w:r w:rsidRPr="005539C8">
        <w:rPr>
          <w:rFonts w:ascii="Times New Roman" w:hAnsi="Times New Roman" w:cs="Times New Roman"/>
          <w:sz w:val="24"/>
          <w:szCs w:val="24"/>
        </w:rPr>
        <w:t>ответственности и способ устранения конфликт интересов.</w:t>
      </w:r>
    </w:p>
    <w:p w:rsidR="00AC2F99" w:rsidRPr="005539C8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>5.5. Решения рабочей группы по уре</w:t>
      </w:r>
      <w:r w:rsidRPr="005539C8">
        <w:rPr>
          <w:rFonts w:ascii="Times New Roman" w:hAnsi="Times New Roman" w:cs="Times New Roman"/>
          <w:sz w:val="24"/>
          <w:szCs w:val="24"/>
        </w:rPr>
        <w:t xml:space="preserve">гулированию конфликта интересов </w:t>
      </w:r>
      <w:r w:rsidRPr="005539C8">
        <w:rPr>
          <w:rFonts w:ascii="Times New Roman" w:hAnsi="Times New Roman" w:cs="Times New Roman"/>
          <w:sz w:val="24"/>
          <w:szCs w:val="24"/>
        </w:rPr>
        <w:t>принимаются в форме протокола.</w:t>
      </w:r>
    </w:p>
    <w:p w:rsidR="004925C2" w:rsidRPr="004925C2" w:rsidRDefault="00AC2F99" w:rsidP="00AC2F99">
      <w:pPr>
        <w:jc w:val="both"/>
        <w:rPr>
          <w:rFonts w:ascii="Times New Roman" w:hAnsi="Times New Roman" w:cs="Times New Roman"/>
          <w:sz w:val="24"/>
          <w:szCs w:val="24"/>
        </w:rPr>
      </w:pPr>
      <w:r w:rsidRPr="005539C8">
        <w:rPr>
          <w:rFonts w:ascii="Times New Roman" w:hAnsi="Times New Roman" w:cs="Times New Roman"/>
          <w:sz w:val="24"/>
          <w:szCs w:val="24"/>
        </w:rPr>
        <w:t xml:space="preserve">5.6. Окончательное решение о способе разрешения возникшего </w:t>
      </w:r>
      <w:r w:rsidRPr="005539C8">
        <w:rPr>
          <w:rFonts w:ascii="Times New Roman" w:hAnsi="Times New Roman" w:cs="Times New Roman"/>
          <w:sz w:val="24"/>
          <w:szCs w:val="24"/>
        </w:rPr>
        <w:t xml:space="preserve">(имеющегося) конфликта интересов принимается </w:t>
      </w:r>
      <w:r w:rsidRPr="005539C8">
        <w:rPr>
          <w:rFonts w:ascii="Times New Roman" w:hAnsi="Times New Roman" w:cs="Times New Roman"/>
          <w:sz w:val="24"/>
          <w:szCs w:val="24"/>
        </w:rPr>
        <w:t>Директором Центра</w:t>
      </w:r>
      <w:r w:rsidRPr="005539C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</w:t>
      </w:r>
      <w:r w:rsidRPr="005539C8">
        <w:rPr>
          <w:rFonts w:ascii="Times New Roman" w:hAnsi="Times New Roman" w:cs="Times New Roman"/>
          <w:sz w:val="24"/>
          <w:szCs w:val="24"/>
        </w:rPr>
        <w:t xml:space="preserve">нта получения протокола рабочей </w:t>
      </w:r>
      <w:r w:rsidRPr="005539C8">
        <w:rPr>
          <w:rFonts w:ascii="Times New Roman" w:hAnsi="Times New Roman" w:cs="Times New Roman"/>
          <w:sz w:val="24"/>
          <w:szCs w:val="24"/>
        </w:rPr>
        <w:t>группы.</w:t>
      </w:r>
      <w:r w:rsidR="004925C2" w:rsidRPr="00553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C2F99" w:rsidRPr="00AC2F99" w:rsidRDefault="00AC2F99" w:rsidP="00AC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C2F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</w:t>
      </w: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AC2F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ПОРЯДОК УВЕДОМЛЕНИЯ РАБОТОДАТЕЛЯ РАБОТНИКАМИ,</w:t>
      </w: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C2F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ЗАМЕЩАЮЩИМИ ОТДЕЛЬНЫЕ ДОЛЖНОСТИ НА ОСНОВАНИИ</w:t>
      </w: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C2F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ТРУДОВОГО ДОГОВОРА, О ВОЗНИКНОВЕНИИ ЛИЧНОЙ</w:t>
      </w: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C2F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ЗАИНТЕРЕСОВАННОСТИ ПРИ ИСПОЛНЕНИИ ДОЛЖНОСТНЫХ</w:t>
      </w: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C2F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ОБЯЗАННОСТЕЙ, КОТОРАЯ ПРИВОДИТ ИЛИ МОЖЕТ ПРИВЕСТИ К</w:t>
      </w: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C2F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КОНФЛИКТУ ИНТЕРЕСОВ</w:t>
      </w:r>
    </w:p>
    <w:p w:rsidR="00AC2F99" w:rsidRPr="005539C8" w:rsidRDefault="00AC2F99" w:rsidP="00AC2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C2F99" w:rsidRPr="00AC2F99" w:rsidRDefault="00AC2F99" w:rsidP="00FA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2F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Принятие мер по недопущению любой возможности возникновения</w:t>
      </w:r>
      <w:r w:rsidR="00FA4701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C2F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конфликта интересов и урегулированию возникшего конфликта </w:t>
      </w:r>
      <w:r w:rsidR="00FA4701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является</w:t>
      </w:r>
      <w:r w:rsidRPr="00AC2F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обязанностью работника.</w:t>
      </w:r>
    </w:p>
    <w:p w:rsidR="00FA4701" w:rsidRPr="00FA4701" w:rsidRDefault="00AC2F99" w:rsidP="00FA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2F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 В случае возникновения у работника личной заинтересованности при</w:t>
      </w:r>
      <w:r w:rsidR="00FA4701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исполнении </w:t>
      </w:r>
      <w:r w:rsidRPr="00AC2F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должностных обязанностей, которая приводит или может привести</w:t>
      </w:r>
      <w:r w:rsidR="00FA4701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C2F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конфликту интересов, он обязан не позднее одного рабочего дня, следующего</w:t>
      </w:r>
      <w:r w:rsidR="00FA4701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C2F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днем, когда ему стало об этом известно, а в случае отсутствия работника по</w:t>
      </w:r>
      <w:r w:rsidR="00FA4701"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A4701"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какой-либо причине на рабочем месте – при первой возможности, уведомить об</w:t>
      </w:r>
    </w:p>
    <w:p w:rsidR="00FA4701" w:rsidRPr="00FA4701" w:rsidRDefault="00FA4701" w:rsidP="00FA4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этом работодателя.</w:t>
      </w:r>
    </w:p>
    <w:p w:rsidR="00FA4701" w:rsidRPr="00FA4701" w:rsidRDefault="00FA4701" w:rsidP="00FA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6.3. Уведомление о возникновении личной заинтересованности при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исполнении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должностных обязанностей, которая приводит или может привести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конфликту интересов (далее – уведомление), составляется в письменном виде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произвольной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 или по рекомендуемому образцу согласно приложению 2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настоящему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Положению на имя 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Директора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предоставляется сотруднику </w:t>
      </w:r>
      <w:proofErr w:type="spellStart"/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комплаенс</w:t>
      </w:r>
      <w:proofErr w:type="spellEnd"/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-службы.</w:t>
      </w:r>
    </w:p>
    <w:p w:rsidR="00FA4701" w:rsidRPr="00FA4701" w:rsidRDefault="00FA4701" w:rsidP="00FA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уведомлению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прилагаться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дополнительные материалы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подтверждающие</w:t>
      </w:r>
    </w:p>
    <w:p w:rsidR="00FA4701" w:rsidRPr="00FA4701" w:rsidRDefault="00FA4701" w:rsidP="00FA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Ф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возникновения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личной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заинтересованности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исполнении должностных обязанностей, которая приводит или может привести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конфликту интересов, а также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материалы, подтверждающие принятые меры по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предотвращению или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урегулированию конфликта интересов.</w:t>
      </w:r>
    </w:p>
    <w:p w:rsidR="00FA4701" w:rsidRPr="00FA4701" w:rsidRDefault="00FA4701" w:rsidP="00FA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 В случае, если уведомление не может быть представлено работником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лично, оно направляется по каналам факсимильной связи или по почте с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уведомлением о вручении.</w:t>
      </w:r>
    </w:p>
    <w:p w:rsidR="00FA4701" w:rsidRPr="00FA4701" w:rsidRDefault="00FA4701" w:rsidP="00FA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6.5. Уведомления в день их поступления подлежат обязательной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регистрации в Журнале регистрации уведомлений о возникновении личной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заинтересованности при исполнении должностных обязанностей, которая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приводит или может привести к конфликту интересов (далее – журнал),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составленном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рекомендуемому</w:t>
      </w:r>
      <w:proofErr w:type="gramEnd"/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образцу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приложению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настоящему Положению.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Листы журнала должны быть прошиты, пронумерованы и заверены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печатью 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A4701" w:rsidRPr="00FA4701" w:rsidRDefault="00FA4701" w:rsidP="00FA4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6.6. Копия уведомления с отметкой о его регистрации выдается работнику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руки под подпись в журнале или направляется ему по почте с уведомлением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вручении.</w:t>
      </w:r>
    </w:p>
    <w:p w:rsidR="00FA4701" w:rsidRPr="00FA4701" w:rsidRDefault="00FA4701" w:rsidP="00FA4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6.7. Не позднее трех рабочих дней, следующих за днем регистрации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уведомления,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отрудник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комплаенс</w:t>
      </w:r>
      <w:proofErr w:type="spellEnd"/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-службы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Центра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47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направление 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Директору.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539C8" w:rsidRPr="005539C8" w:rsidRDefault="005539C8" w:rsidP="0055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539C8" w:rsidRPr="005539C8" w:rsidRDefault="005539C8" w:rsidP="0055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539C8" w:rsidRPr="005539C8" w:rsidRDefault="005539C8" w:rsidP="0055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539C8" w:rsidRPr="005539C8" w:rsidRDefault="005539C8" w:rsidP="0055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 ОТВЕТСТВЕННОСТЬ РАБОТНИКОВ ЗА НЕСОБЛЮДЕНИЕ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ПОЛОЖЕНИЯ О КОНФЛИКТЕ ИНТЕРЕСОВ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действующим законодательством Республики Казахстан.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 За непринятие работником мер по предотвращению или урегулированию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конфликта интересов, стороной которого он является, результатом чего стало совершение коррупционного преступления, с ним расторгается трудовой договор в соответствии со статьями 52 и 143-1 Трудового кодекса Республики Казахстан.</w:t>
      </w:r>
    </w:p>
    <w:p w:rsidR="004925C2" w:rsidRDefault="004925C2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Default="005539C8" w:rsidP="00553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9C8" w:rsidRPr="005539C8" w:rsidRDefault="005539C8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1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Положению по урегулированию конфликта интересов</w:t>
      </w:r>
    </w:p>
    <w:p w:rsidR="005539C8" w:rsidRDefault="005539C8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ГКП на ПХВ «ОЦПЗ» УЗ МО     </w:t>
      </w:r>
    </w:p>
    <w:p w:rsidR="005539C8" w:rsidRDefault="005539C8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539C8" w:rsidRDefault="005539C8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539C8" w:rsidRDefault="005539C8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539C8" w:rsidRDefault="005539C8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Обзор типовых ситуаций конфликта интересов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 Центра в ходе выполнения своих трудовых обязанностей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участвует в принятии решений, которые могут принести материальную или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нематериальную выгоду лицам, являющимся его родственниками или иным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с которыми связана его личная заинтересованность.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Возможные способы урегулирования: отстранение работника от принятия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того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решения, которое является предметом конфликта интересов.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 Центра участвует в принятии кадровых решений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отношении лиц, являющихся его родственниками или иными лицами, с которым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связана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личная заинтересованность.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Возможные способы урегулирования: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принятия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решения, которое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предметом конфликта интересов;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 работника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подчиненного) на иную должность или изменение его должностных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обязанностей.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 Центра или иное лицо, с которым связана личная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намерен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оплачиваемую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работу в другой организации, имеющей деловые отношения с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Предприятием, намеревающейся установить такие отношения или являющейся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 конкурентом.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Возможные способы урегулирования: отстранение работника от принятия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решения, которое является предметом конфликта интересов; рекомендация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работнику отказаться от выполнения иной оплачиваемой работы.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 Центра или иное лицо, с которым связана личная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заинтересованность работника, получает материальные блага или услуги от иной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которая имеет деловые отношения с Предприятием, намеревается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установить такие отношения или является ее конкурентом.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Возможные способы урегулирования: рекомендация работнику отказаться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предоставляемых благ или услуг; отстранение работника от принятия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решения, которое является предметом конфликта интересов; изменение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трудовых обязанностей работника.</w:t>
      </w:r>
    </w:p>
    <w:p w:rsidR="005539C8" w:rsidRPr="005539C8" w:rsidRDefault="005539C8" w:rsidP="0055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 Центра или иное лицо, с которым связана личная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заинтересованность работника, получает дорогостоящие подарки от своего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подчиненного или иного работника Центра, в отношении которого работник</w:t>
      </w:r>
    </w:p>
    <w:p w:rsidR="00C86087" w:rsidRPr="00C86087" w:rsidRDefault="005539C8" w:rsidP="00C8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 контрольные функции.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Возможные способы урегулирования: рекомендация работнику вернуть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дорогостоящий подарок дарителю; установление правил корпоративного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поведения,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рекомендующих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воздерживаться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дарения/принятия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дорогостоящих подарков; расторжение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трудовых отношений с работником (его</w:t>
      </w:r>
      <w:r w:rsid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подчиненным) и принятие мер </w:t>
      </w:r>
      <w:r w:rsidR="00C86087"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антикоррупционному законодательству.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 Общества использует информацию, ставшую ему известной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трудовых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выгоды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конкурентных преимуществ при совершении коммерческих сделок для себя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иного лица,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которым связана личная заинтересованность работника.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способы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урегулирования: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корпоративного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разглашение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в личных целях информации, ставшей им известной в связи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выполнением трудовых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обязанностей; расторжение трудовых отношений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работником.</w:t>
      </w: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5539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08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 2</w:t>
      </w: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08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Положению по урегулированию конфликта интересов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08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ГКП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ПХВ «ОЦПЗ» УЗ МО     </w:t>
      </w: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Директору 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08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ГКП на ПХВ «ОЦПЗ» УЗ МО     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(должность)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</w:t>
      </w: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Ф.И.О</w:t>
      </w:r>
    </w:p>
    <w:p w:rsidR="00C86087" w:rsidRDefault="00C86087" w:rsidP="00C86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Pr="00C86087" w:rsidRDefault="00C86087" w:rsidP="00C86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Уведомление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Сообщаю о возникновении у меня личной заинтересованности 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исполнении должностных обязанностей, которая приводит или может привести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конфликту интересов (нужное подчеркнуть).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Обстоятельства,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являющиеся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</w:t>
      </w: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ичной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заинтересованности: 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Должностные обязанности, на исполнение которых влияет или может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повлиять личная заинтересованность___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Предлагаемые (принятые) меры по предотвращению или урегулированию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конфликта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интересов: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Дополнительные сведения (при наличии): 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Личное присутствие на заседании Комиссии: 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(ФИО подпись)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0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(дата)</w:t>
      </w: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Default="00C86087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08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 3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8608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Положению по урегулированию конфликта интересов</w:t>
      </w:r>
    </w:p>
    <w:p w:rsidR="0062375D" w:rsidRPr="00C86087" w:rsidRDefault="0062375D" w:rsidP="0062375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 </w:t>
      </w: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ГКП на ПХВ «ОЦПЗ» УЗ МО     </w:t>
      </w:r>
    </w:p>
    <w:p w:rsidR="00C86087" w:rsidRPr="00C86087" w:rsidRDefault="00C86087" w:rsidP="00C860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375D" w:rsidRDefault="0062375D" w:rsidP="0062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Default="0062375D" w:rsidP="0062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Default="0062375D" w:rsidP="0062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Default="0062375D" w:rsidP="0062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Pr="0062375D" w:rsidRDefault="0062375D" w:rsidP="0062375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2375D" w:rsidRPr="0062375D" w:rsidRDefault="0062375D" w:rsidP="0062375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375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(наименование организации)</w:t>
      </w:r>
    </w:p>
    <w:p w:rsidR="0062375D" w:rsidRPr="0062375D" w:rsidRDefault="0062375D" w:rsidP="0062375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375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Начат: «__» _______ 20__ г.</w:t>
      </w:r>
    </w:p>
    <w:p w:rsidR="0062375D" w:rsidRPr="0062375D" w:rsidRDefault="0062375D" w:rsidP="0062375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375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Окончен: «__» _____ 20__ г.</w:t>
      </w:r>
    </w:p>
    <w:p w:rsidR="0062375D" w:rsidRDefault="0062375D" w:rsidP="006237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Default="0062375D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Default="0062375D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Default="0062375D" w:rsidP="00623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Default="0062375D" w:rsidP="00623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375D" w:rsidRPr="0062375D" w:rsidRDefault="0062375D" w:rsidP="00623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237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Журнал</w:t>
      </w:r>
    </w:p>
    <w:p w:rsidR="0062375D" w:rsidRPr="0062375D" w:rsidRDefault="0062375D" w:rsidP="0062375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375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регистрации уведомлений о возникшем конфликте интересов</w:t>
      </w:r>
    </w:p>
    <w:p w:rsidR="0062375D" w:rsidRPr="0062375D" w:rsidRDefault="0062375D" w:rsidP="0062375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2375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или о возможности его возникновения</w:t>
      </w:r>
    </w:p>
    <w:p w:rsidR="0062375D" w:rsidRDefault="0062375D"/>
    <w:p w:rsidR="0062375D" w:rsidRDefault="0062375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2298"/>
        <w:gridCol w:w="2727"/>
        <w:gridCol w:w="2504"/>
      </w:tblGrid>
      <w:tr w:rsidR="0062375D" w:rsidTr="0062375D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1685" w:type="dxa"/>
          </w:tcPr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Страница журнала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№ и дата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регистрации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уведомления</w:t>
            </w:r>
          </w:p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Сведения о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работнике, подавшем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уведомление (ФИО,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должность, номер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телефона)</w:t>
            </w:r>
          </w:p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Ф.И.О., подпись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лица, принявшего</w:t>
            </w:r>
          </w:p>
          <w:p w:rsidR="0062375D" w:rsidRPr="0062375D" w:rsidRDefault="0062375D" w:rsidP="0062375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2375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уведомление</w:t>
            </w:r>
          </w:p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62375D" w:rsidTr="0062375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85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2375D" w:rsidTr="0062375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685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2375D" w:rsidTr="0062375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685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2375D" w:rsidTr="0062375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85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62375D" w:rsidRDefault="0062375D" w:rsidP="00C86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539C8" w:rsidRPr="005539C8" w:rsidRDefault="005539C8" w:rsidP="00C8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39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sectPr w:rsidR="005539C8" w:rsidRPr="005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64"/>
    <w:rsid w:val="001B1AC5"/>
    <w:rsid w:val="002F3664"/>
    <w:rsid w:val="004925C2"/>
    <w:rsid w:val="005539C8"/>
    <w:rsid w:val="0062375D"/>
    <w:rsid w:val="006F7A3C"/>
    <w:rsid w:val="0070543C"/>
    <w:rsid w:val="00AC2F99"/>
    <w:rsid w:val="00C2486C"/>
    <w:rsid w:val="00C86087"/>
    <w:rsid w:val="00E27AA6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3A1F"/>
  <w15:chartTrackingRefBased/>
  <w15:docId w15:val="{0A62A4A9-7974-445E-90DE-3B22D019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</dc:creator>
  <cp:keywords/>
  <dc:description/>
  <cp:lastModifiedBy>ЗАКИР</cp:lastModifiedBy>
  <cp:revision>2</cp:revision>
  <dcterms:created xsi:type="dcterms:W3CDTF">2023-09-15T08:39:00Z</dcterms:created>
  <dcterms:modified xsi:type="dcterms:W3CDTF">2023-09-15T08:39:00Z</dcterms:modified>
</cp:coreProperties>
</file>